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87" w:rsidRDefault="000E3887" w:rsidP="000E3887">
      <w:pPr>
        <w:jc w:val="right"/>
        <w:rPr>
          <w:b/>
        </w:rPr>
      </w:pPr>
    </w:p>
    <w:p w:rsidR="00C9749D" w:rsidRPr="00EE7687" w:rsidRDefault="00C9749D" w:rsidP="00C9749D">
      <w:pPr>
        <w:jc w:val="center"/>
        <w:rPr>
          <w:b/>
        </w:rPr>
      </w:pPr>
      <w:r w:rsidRPr="00EE7687">
        <w:rPr>
          <w:b/>
        </w:rPr>
        <w:t>МЕСТНАЯ АДМИНИСТРАЦИЯ</w:t>
      </w:r>
    </w:p>
    <w:p w:rsidR="00C9749D" w:rsidRPr="00EE7687" w:rsidRDefault="00C9749D" w:rsidP="00C9749D">
      <w:pPr>
        <w:jc w:val="center"/>
        <w:rPr>
          <w:b/>
        </w:rPr>
      </w:pPr>
      <w:r w:rsidRPr="00EE7687">
        <w:rPr>
          <w:b/>
        </w:rPr>
        <w:t>МУНИЦИПАЛЬНОГО ОБРАЗОВАНИЯ</w:t>
      </w:r>
    </w:p>
    <w:p w:rsidR="00C9749D" w:rsidRPr="00EE7687" w:rsidRDefault="00C9749D" w:rsidP="00C9749D">
      <w:pPr>
        <w:jc w:val="center"/>
        <w:rPr>
          <w:b/>
        </w:rPr>
      </w:pPr>
      <w:r w:rsidRPr="00EE7687">
        <w:rPr>
          <w:b/>
        </w:rPr>
        <w:t>НИЗИНСКОЕ СЕЛЬСКОЕ ПОСЕЛЕНИЕ</w:t>
      </w:r>
    </w:p>
    <w:p w:rsidR="00C9749D" w:rsidRPr="00EE7687" w:rsidRDefault="00C9749D" w:rsidP="00C9749D">
      <w:pPr>
        <w:jc w:val="center"/>
        <w:rPr>
          <w:b/>
        </w:rPr>
      </w:pPr>
      <w:r w:rsidRPr="00EE7687">
        <w:rPr>
          <w:b/>
        </w:rPr>
        <w:t>МУНИЦИПАЛЬНОГО ОБРАЗОВАНИЯ</w:t>
      </w:r>
    </w:p>
    <w:p w:rsidR="00C9749D" w:rsidRPr="00EE7687" w:rsidRDefault="00C9749D" w:rsidP="00C9749D">
      <w:pPr>
        <w:jc w:val="center"/>
        <w:rPr>
          <w:b/>
        </w:rPr>
      </w:pPr>
      <w:r w:rsidRPr="00EE7687">
        <w:rPr>
          <w:b/>
        </w:rPr>
        <w:t>ЛОМОНОСОВСКИЙ МУНИЦИПАЛЬНЫЙ РАЙОН</w:t>
      </w:r>
    </w:p>
    <w:p w:rsidR="00C9749D" w:rsidRPr="00EE7687" w:rsidRDefault="00C9749D" w:rsidP="00C9749D">
      <w:pPr>
        <w:jc w:val="center"/>
        <w:rPr>
          <w:b/>
        </w:rPr>
      </w:pPr>
      <w:r w:rsidRPr="00EE7687">
        <w:rPr>
          <w:b/>
        </w:rPr>
        <w:t>ЛЕНИНГРАДСКОЙ ОБЛАСТИ</w:t>
      </w:r>
    </w:p>
    <w:p w:rsidR="00C9749D" w:rsidRPr="00EE7687" w:rsidRDefault="00C9749D" w:rsidP="00C9749D">
      <w:pPr>
        <w:jc w:val="both"/>
        <w:rPr>
          <w:color w:val="000000"/>
        </w:rPr>
      </w:pPr>
    </w:p>
    <w:p w:rsidR="00C9749D" w:rsidRPr="00EE7687" w:rsidRDefault="00C9749D" w:rsidP="00C9749D">
      <w:pPr>
        <w:keepNext/>
        <w:jc w:val="center"/>
        <w:outlineLvl w:val="5"/>
        <w:rPr>
          <w:b/>
          <w:color w:val="000000"/>
        </w:rPr>
      </w:pPr>
      <w:r w:rsidRPr="00EE7687">
        <w:rPr>
          <w:b/>
          <w:color w:val="000000"/>
        </w:rPr>
        <w:t xml:space="preserve">ПОСТАНОВЛЕНИЕ </w:t>
      </w:r>
    </w:p>
    <w:p w:rsidR="00C9749D" w:rsidRPr="00EE7687" w:rsidRDefault="00C9749D" w:rsidP="00C9749D">
      <w:pPr>
        <w:jc w:val="both"/>
      </w:pPr>
    </w:p>
    <w:p w:rsidR="00C9749D" w:rsidRPr="00EE7687" w:rsidRDefault="00C9749D" w:rsidP="00C9749D">
      <w:pPr>
        <w:jc w:val="both"/>
      </w:pPr>
    </w:p>
    <w:p w:rsidR="00C9749D" w:rsidRPr="00A068E9" w:rsidRDefault="00C9749D" w:rsidP="00C9749D">
      <w:pPr>
        <w:rPr>
          <w:b/>
        </w:rPr>
      </w:pPr>
      <w:r w:rsidRPr="00A068E9">
        <w:rPr>
          <w:b/>
        </w:rPr>
        <w:t xml:space="preserve">от </w:t>
      </w:r>
      <w:r>
        <w:rPr>
          <w:b/>
        </w:rPr>
        <w:t xml:space="preserve"> </w:t>
      </w:r>
      <w:r w:rsidR="00B64DBF">
        <w:rPr>
          <w:b/>
        </w:rPr>
        <w:t>07.11.</w:t>
      </w:r>
      <w:r w:rsidR="000E3887">
        <w:rPr>
          <w:b/>
        </w:rPr>
        <w:t>2023г.</w:t>
      </w:r>
      <w:r>
        <w:rPr>
          <w:b/>
        </w:rPr>
        <w:t xml:space="preserve">  </w:t>
      </w:r>
      <w:r w:rsidRPr="00A068E9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</w:t>
      </w:r>
      <w:r w:rsidRPr="00A068E9">
        <w:rPr>
          <w:b/>
        </w:rPr>
        <w:t>№</w:t>
      </w:r>
      <w:r>
        <w:rPr>
          <w:b/>
        </w:rPr>
        <w:t xml:space="preserve"> </w:t>
      </w:r>
      <w:r w:rsidRPr="00A068E9">
        <w:rPr>
          <w:b/>
        </w:rPr>
        <w:t xml:space="preserve"> </w:t>
      </w:r>
      <w:r w:rsidR="00B64DBF">
        <w:rPr>
          <w:b/>
        </w:rPr>
        <w:t>592</w:t>
      </w:r>
    </w:p>
    <w:p w:rsidR="00C9749D" w:rsidRPr="00A068E9" w:rsidRDefault="00C9749D" w:rsidP="00C9749D">
      <w:pPr>
        <w:jc w:val="both"/>
        <w:rPr>
          <w:b/>
        </w:rPr>
      </w:pPr>
    </w:p>
    <w:tbl>
      <w:tblPr>
        <w:tblW w:w="0" w:type="auto"/>
        <w:tblInd w:w="108" w:type="dxa"/>
        <w:tblLook w:val="0000"/>
      </w:tblPr>
      <w:tblGrid>
        <w:gridCol w:w="9322"/>
      </w:tblGrid>
      <w:tr w:rsidR="00C9749D" w:rsidTr="003276D7">
        <w:trPr>
          <w:trHeight w:val="1150"/>
        </w:trPr>
        <w:tc>
          <w:tcPr>
            <w:tcW w:w="9765" w:type="dxa"/>
          </w:tcPr>
          <w:p w:rsidR="00C9749D" w:rsidRPr="00437BA5" w:rsidRDefault="00C9749D" w:rsidP="00C9749D">
            <w:pPr>
              <w:jc w:val="center"/>
              <w:rPr>
                <w:b/>
                <w:sz w:val="24"/>
                <w:szCs w:val="24"/>
              </w:rPr>
            </w:pPr>
            <w:r w:rsidRPr="00437BA5">
              <w:rPr>
                <w:b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Низинское сельское поселение муниципального образования Ломоносовский муниципальный рай</w:t>
            </w:r>
            <w:r w:rsidR="00AC48F5">
              <w:rPr>
                <w:b/>
                <w:sz w:val="24"/>
                <w:szCs w:val="24"/>
              </w:rPr>
              <w:t>он Ленинградской области на 202</w:t>
            </w:r>
            <w:r w:rsidR="000E3887">
              <w:rPr>
                <w:b/>
                <w:sz w:val="24"/>
                <w:szCs w:val="24"/>
              </w:rPr>
              <w:t>4</w:t>
            </w:r>
            <w:r w:rsidRPr="00437BA5">
              <w:rPr>
                <w:b/>
                <w:sz w:val="24"/>
                <w:szCs w:val="24"/>
              </w:rPr>
              <w:t xml:space="preserve"> год</w:t>
            </w:r>
          </w:p>
          <w:p w:rsidR="00C9749D" w:rsidRPr="00437BA5" w:rsidRDefault="00C9749D" w:rsidP="00327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9749D" w:rsidRPr="00EE7687" w:rsidRDefault="00C9749D" w:rsidP="00C9749D">
      <w:pPr>
        <w:jc w:val="both"/>
      </w:pPr>
    </w:p>
    <w:p w:rsidR="00C9749D" w:rsidRPr="00437BA5" w:rsidRDefault="00C9749D" w:rsidP="00C9749D">
      <w:pPr>
        <w:ind w:firstLine="540"/>
        <w:jc w:val="both"/>
        <w:rPr>
          <w:sz w:val="24"/>
          <w:szCs w:val="24"/>
        </w:rPr>
      </w:pPr>
      <w:r w:rsidRPr="00437BA5">
        <w:rPr>
          <w:sz w:val="24"/>
          <w:szCs w:val="24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</w:t>
      </w:r>
      <w:r w:rsidRPr="00437BA5">
        <w:rPr>
          <w:bCs/>
          <w:iCs/>
          <w:sz w:val="24"/>
          <w:szCs w:val="24"/>
          <w:lang w:bidi="ru-RU"/>
        </w:rPr>
        <w:t xml:space="preserve"> ст. 20 Жилищного кодекса Российской Федерации, </w:t>
      </w:r>
      <w:r w:rsidR="00437BA5" w:rsidRPr="00437BA5">
        <w:rPr>
          <w:bCs/>
          <w:iCs/>
          <w:sz w:val="24"/>
          <w:szCs w:val="24"/>
          <w:lang w:bidi="ru-RU"/>
        </w:rPr>
        <w:t>с частью 2 статьи 44 Федерального закона от 31.07.2020 № 248-ФЗ «О государственном контроле (надзоре) и муниципальном контроле в Российской Федерации»</w:t>
      </w:r>
      <w:r w:rsidRPr="00437BA5">
        <w:rPr>
          <w:bCs/>
          <w:iCs/>
          <w:sz w:val="24"/>
          <w:szCs w:val="24"/>
          <w:lang w:bidi="ru-RU"/>
        </w:rPr>
        <w:t xml:space="preserve">, </w:t>
      </w:r>
      <w:r w:rsidR="00437BA5" w:rsidRPr="00437BA5">
        <w:rPr>
          <w:bCs/>
          <w:iCs/>
          <w:sz w:val="24"/>
          <w:szCs w:val="24"/>
          <w:lang w:bidi="ru-RU"/>
        </w:rPr>
        <w:t>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Pr="00437BA5">
        <w:rPr>
          <w:bCs/>
          <w:iCs/>
          <w:sz w:val="24"/>
          <w:szCs w:val="24"/>
          <w:lang w:bidi="ru-RU"/>
        </w:rPr>
        <w:t xml:space="preserve">  Решением </w:t>
      </w:r>
      <w:r w:rsidR="00AC48F5">
        <w:rPr>
          <w:bCs/>
          <w:iCs/>
          <w:sz w:val="24"/>
          <w:szCs w:val="24"/>
          <w:lang w:bidi="ru-RU"/>
        </w:rPr>
        <w:t>С</w:t>
      </w:r>
      <w:r w:rsidR="000E3887">
        <w:rPr>
          <w:bCs/>
          <w:iCs/>
          <w:sz w:val="24"/>
          <w:szCs w:val="24"/>
          <w:lang w:bidi="ru-RU"/>
        </w:rPr>
        <w:t>овета депутатов от 24.08.2023 г. № 28</w:t>
      </w:r>
      <w:r w:rsidRPr="00437BA5">
        <w:rPr>
          <w:bCs/>
          <w:iCs/>
          <w:sz w:val="24"/>
          <w:szCs w:val="24"/>
          <w:lang w:bidi="ru-RU"/>
        </w:rPr>
        <w:t xml:space="preserve"> «Об утверждении Положения «О </w:t>
      </w:r>
      <w:r w:rsidR="00437BA5" w:rsidRPr="00437BA5">
        <w:rPr>
          <w:bCs/>
          <w:iCs/>
          <w:sz w:val="24"/>
          <w:szCs w:val="24"/>
          <w:lang w:bidi="ru-RU"/>
        </w:rPr>
        <w:t xml:space="preserve">порядке осуществления муниципального жилищного контроля на территории </w:t>
      </w:r>
      <w:r w:rsidRPr="00437BA5">
        <w:rPr>
          <w:bCs/>
          <w:iCs/>
          <w:sz w:val="24"/>
          <w:szCs w:val="24"/>
          <w:lang w:bidi="ru-RU"/>
        </w:rPr>
        <w:t>МО Низинское сельское поселение</w:t>
      </w:r>
      <w:r w:rsidR="00437BA5" w:rsidRPr="00437BA5">
        <w:rPr>
          <w:bCs/>
          <w:iCs/>
          <w:sz w:val="24"/>
          <w:szCs w:val="24"/>
          <w:lang w:bidi="ru-RU"/>
        </w:rPr>
        <w:t xml:space="preserve"> МО Ломоносовский муниципальный район</w:t>
      </w:r>
      <w:r w:rsidRPr="00437BA5">
        <w:rPr>
          <w:bCs/>
          <w:iCs/>
          <w:sz w:val="24"/>
          <w:szCs w:val="24"/>
          <w:lang w:bidi="ru-RU"/>
        </w:rPr>
        <w:t>»</w:t>
      </w:r>
    </w:p>
    <w:p w:rsidR="00C9749D" w:rsidRPr="00437BA5" w:rsidRDefault="00C9749D" w:rsidP="00C9749D">
      <w:pPr>
        <w:keepNext/>
        <w:jc w:val="center"/>
        <w:outlineLvl w:val="5"/>
        <w:rPr>
          <w:b/>
          <w:color w:val="000000"/>
          <w:sz w:val="24"/>
          <w:szCs w:val="24"/>
        </w:rPr>
      </w:pPr>
      <w:r w:rsidRPr="00437BA5">
        <w:rPr>
          <w:b/>
          <w:color w:val="000000"/>
          <w:sz w:val="24"/>
          <w:szCs w:val="24"/>
        </w:rPr>
        <w:t xml:space="preserve">ПОСТАНОВЛЯЕТ: </w:t>
      </w:r>
    </w:p>
    <w:p w:rsidR="00437BA5" w:rsidRPr="00437BA5" w:rsidRDefault="00C9749D" w:rsidP="00437B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7BA5">
        <w:rPr>
          <w:sz w:val="24"/>
          <w:szCs w:val="24"/>
        </w:rPr>
        <w:t xml:space="preserve">1. </w:t>
      </w:r>
      <w:r w:rsidR="00437BA5" w:rsidRPr="00437BA5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Низинское сельское поселение муниципального образования Ломоносовский муниципальный район Ленинградской области н</w:t>
      </w:r>
      <w:r w:rsidR="00AC48F5">
        <w:rPr>
          <w:sz w:val="24"/>
          <w:szCs w:val="24"/>
        </w:rPr>
        <w:t>а</w:t>
      </w:r>
      <w:r w:rsidR="000E3887">
        <w:rPr>
          <w:sz w:val="24"/>
          <w:szCs w:val="24"/>
        </w:rPr>
        <w:t xml:space="preserve"> 2024</w:t>
      </w:r>
      <w:r w:rsidR="00437BA5" w:rsidRPr="00437BA5">
        <w:rPr>
          <w:sz w:val="24"/>
          <w:szCs w:val="24"/>
        </w:rPr>
        <w:t xml:space="preserve"> год, </w:t>
      </w:r>
      <w:r w:rsidR="00437BA5" w:rsidRPr="00437BA5">
        <w:rPr>
          <w:i/>
          <w:sz w:val="24"/>
          <w:szCs w:val="24"/>
        </w:rPr>
        <w:t>согласно приложению №1</w:t>
      </w:r>
      <w:r w:rsidR="00437BA5" w:rsidRPr="00437BA5">
        <w:rPr>
          <w:sz w:val="24"/>
          <w:szCs w:val="24"/>
        </w:rPr>
        <w:t>.</w:t>
      </w:r>
    </w:p>
    <w:p w:rsidR="00437BA5" w:rsidRPr="00437BA5" w:rsidRDefault="00437BA5" w:rsidP="00437B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7BA5">
        <w:rPr>
          <w:sz w:val="24"/>
          <w:szCs w:val="24"/>
        </w:rPr>
        <w:t xml:space="preserve">2. Настоящее постановление подлежит обнародованию на официальном сайте муниципального образования   Низинское  сельское поселение </w:t>
      </w:r>
      <w:hyperlink r:id="rId8" w:history="1">
        <w:r w:rsidRPr="00437BA5">
          <w:rPr>
            <w:rStyle w:val="a7"/>
            <w:sz w:val="24"/>
            <w:szCs w:val="24"/>
            <w:lang w:val="en-US"/>
          </w:rPr>
          <w:t>www</w:t>
        </w:r>
        <w:r w:rsidRPr="00437BA5">
          <w:rPr>
            <w:rStyle w:val="a7"/>
            <w:sz w:val="24"/>
            <w:szCs w:val="24"/>
          </w:rPr>
          <w:t>.</w:t>
        </w:r>
        <w:r w:rsidRPr="00437BA5">
          <w:rPr>
            <w:rStyle w:val="a7"/>
            <w:sz w:val="24"/>
            <w:szCs w:val="24"/>
            <w:lang w:val="en-US"/>
          </w:rPr>
          <w:t>nizino</w:t>
        </w:r>
        <w:r w:rsidRPr="00437BA5">
          <w:rPr>
            <w:rStyle w:val="a7"/>
            <w:sz w:val="24"/>
            <w:szCs w:val="24"/>
          </w:rPr>
          <w:t>.</w:t>
        </w:r>
        <w:r w:rsidRPr="00437BA5">
          <w:rPr>
            <w:rStyle w:val="a7"/>
            <w:sz w:val="24"/>
            <w:szCs w:val="24"/>
            <w:lang w:val="en-US"/>
          </w:rPr>
          <w:t>info</w:t>
        </w:r>
      </w:hyperlink>
      <w:r w:rsidRPr="00437BA5">
        <w:rPr>
          <w:sz w:val="24"/>
          <w:szCs w:val="24"/>
        </w:rPr>
        <w:t xml:space="preserve"> и вступает в силу с момента  его опубликования.</w:t>
      </w:r>
    </w:p>
    <w:p w:rsidR="00437BA5" w:rsidRPr="00437BA5" w:rsidRDefault="00437BA5" w:rsidP="00437B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7BA5">
        <w:rPr>
          <w:sz w:val="24"/>
          <w:szCs w:val="24"/>
        </w:rPr>
        <w:t>3. Контроль исполнения настоящего постановления оставляю за собой</w:t>
      </w:r>
    </w:p>
    <w:p w:rsidR="00C9749D" w:rsidRPr="00437BA5" w:rsidRDefault="00C9749D" w:rsidP="00437B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49D" w:rsidRPr="00437BA5" w:rsidRDefault="00C9749D" w:rsidP="00C9749D">
      <w:pPr>
        <w:rPr>
          <w:sz w:val="24"/>
          <w:szCs w:val="24"/>
        </w:rPr>
      </w:pPr>
      <w:r w:rsidRPr="00437BA5">
        <w:rPr>
          <w:sz w:val="24"/>
          <w:szCs w:val="24"/>
        </w:rPr>
        <w:t xml:space="preserve">Глава местной администрации </w:t>
      </w:r>
    </w:p>
    <w:p w:rsidR="00C9749D" w:rsidRPr="00437BA5" w:rsidRDefault="00C9749D" w:rsidP="00C9749D">
      <w:pPr>
        <w:keepNext/>
        <w:jc w:val="both"/>
        <w:outlineLvl w:val="0"/>
        <w:rPr>
          <w:b/>
          <w:spacing w:val="20"/>
          <w:sz w:val="24"/>
          <w:szCs w:val="24"/>
        </w:rPr>
      </w:pPr>
      <w:r w:rsidRPr="00437BA5">
        <w:rPr>
          <w:sz w:val="24"/>
          <w:szCs w:val="24"/>
        </w:rPr>
        <w:t xml:space="preserve">МО </w:t>
      </w:r>
      <w:r w:rsidR="00437BA5">
        <w:rPr>
          <w:sz w:val="24"/>
          <w:szCs w:val="24"/>
        </w:rPr>
        <w:t xml:space="preserve">Низинское сельское поселение                       </w:t>
      </w:r>
      <w:r w:rsidRPr="00437BA5">
        <w:rPr>
          <w:sz w:val="24"/>
          <w:szCs w:val="24"/>
        </w:rPr>
        <w:tab/>
        <w:t xml:space="preserve">                  Е.В. Клухина</w:t>
      </w:r>
    </w:p>
    <w:p w:rsidR="00C9749D" w:rsidRDefault="00C9749D">
      <w:pPr>
        <w:keepNext/>
        <w:jc w:val="right"/>
        <w:outlineLvl w:val="0"/>
        <w:rPr>
          <w:b/>
          <w:spacing w:val="20"/>
          <w:sz w:val="32"/>
          <w:u w:val="single"/>
        </w:rPr>
      </w:pPr>
    </w:p>
    <w:p w:rsidR="00C9749D" w:rsidRDefault="00C9749D">
      <w:pPr>
        <w:keepNext/>
        <w:jc w:val="right"/>
        <w:outlineLvl w:val="0"/>
        <w:rPr>
          <w:b/>
          <w:spacing w:val="20"/>
          <w:sz w:val="32"/>
          <w:u w:val="single"/>
        </w:rPr>
      </w:pPr>
    </w:p>
    <w:p w:rsidR="006032F7" w:rsidRDefault="006032F7">
      <w:pPr>
        <w:jc w:val="both"/>
        <w:rPr>
          <w:sz w:val="24"/>
          <w:szCs w:val="22"/>
        </w:rPr>
      </w:pPr>
    </w:p>
    <w:p w:rsidR="006032F7" w:rsidRDefault="006032F7">
      <w:pPr>
        <w:jc w:val="both"/>
        <w:rPr>
          <w:sz w:val="24"/>
          <w:szCs w:val="22"/>
        </w:rPr>
      </w:pPr>
    </w:p>
    <w:p w:rsidR="006032F7" w:rsidRDefault="006032F7">
      <w:pPr>
        <w:jc w:val="both"/>
        <w:rPr>
          <w:sz w:val="24"/>
          <w:szCs w:val="22"/>
        </w:rPr>
      </w:pPr>
    </w:p>
    <w:p w:rsidR="006032F7" w:rsidRDefault="006032F7">
      <w:pPr>
        <w:jc w:val="both"/>
        <w:rPr>
          <w:sz w:val="24"/>
          <w:szCs w:val="22"/>
        </w:rPr>
      </w:pPr>
    </w:p>
    <w:p w:rsidR="006032F7" w:rsidRDefault="006032F7">
      <w:pPr>
        <w:jc w:val="both"/>
        <w:rPr>
          <w:sz w:val="24"/>
          <w:szCs w:val="22"/>
        </w:rPr>
      </w:pPr>
    </w:p>
    <w:p w:rsidR="006032F7" w:rsidRDefault="006032F7">
      <w:pPr>
        <w:jc w:val="both"/>
        <w:rPr>
          <w:sz w:val="24"/>
          <w:szCs w:val="22"/>
        </w:rPr>
      </w:pPr>
    </w:p>
    <w:p w:rsidR="006032F7" w:rsidRDefault="006032F7">
      <w:pPr>
        <w:jc w:val="both"/>
        <w:rPr>
          <w:sz w:val="24"/>
          <w:szCs w:val="22"/>
        </w:rPr>
      </w:pPr>
    </w:p>
    <w:p w:rsidR="006032F7" w:rsidRDefault="006032F7">
      <w:pPr>
        <w:jc w:val="both"/>
        <w:rPr>
          <w:sz w:val="24"/>
          <w:szCs w:val="22"/>
        </w:rPr>
      </w:pPr>
    </w:p>
    <w:p w:rsidR="006032F7" w:rsidRDefault="006032F7">
      <w:pPr>
        <w:jc w:val="both"/>
        <w:rPr>
          <w:sz w:val="24"/>
          <w:szCs w:val="22"/>
        </w:rPr>
      </w:pPr>
    </w:p>
    <w:p w:rsidR="006032F7" w:rsidRDefault="006032F7" w:rsidP="00437BA5">
      <w:pPr>
        <w:rPr>
          <w:sz w:val="24"/>
          <w:szCs w:val="22"/>
        </w:rPr>
      </w:pPr>
    </w:p>
    <w:p w:rsidR="00E6625F" w:rsidRDefault="006032F7">
      <w:pPr>
        <w:ind w:left="3540" w:firstLine="708"/>
        <w:jc w:val="right"/>
        <w:rPr>
          <w:szCs w:val="24"/>
        </w:rPr>
      </w:pPr>
      <w:r>
        <w:rPr>
          <w:szCs w:val="24"/>
        </w:rPr>
        <w:t>Приложение №1</w:t>
      </w:r>
    </w:p>
    <w:p w:rsidR="006032F7" w:rsidRDefault="006032F7">
      <w:pPr>
        <w:ind w:left="283" w:right="42" w:firstLine="4253"/>
        <w:jc w:val="right"/>
        <w:rPr>
          <w:szCs w:val="24"/>
        </w:rPr>
      </w:pPr>
      <w:r>
        <w:rPr>
          <w:szCs w:val="24"/>
        </w:rPr>
        <w:t>к  постановлению</w:t>
      </w:r>
    </w:p>
    <w:p w:rsidR="00E6625F" w:rsidRDefault="006032F7">
      <w:pPr>
        <w:ind w:left="283" w:right="42" w:firstLine="4253"/>
        <w:jc w:val="right"/>
        <w:rPr>
          <w:szCs w:val="24"/>
        </w:rPr>
      </w:pPr>
      <w:r>
        <w:rPr>
          <w:szCs w:val="24"/>
        </w:rPr>
        <w:t xml:space="preserve"> главы местной администрации</w:t>
      </w:r>
      <w:r w:rsidR="007F18E0">
        <w:rPr>
          <w:szCs w:val="24"/>
        </w:rPr>
        <w:t xml:space="preserve">  </w:t>
      </w:r>
    </w:p>
    <w:p w:rsidR="00E6625F" w:rsidRDefault="007F18E0">
      <w:pPr>
        <w:ind w:right="42" w:firstLine="4253"/>
        <w:jc w:val="right"/>
        <w:rPr>
          <w:szCs w:val="24"/>
        </w:rPr>
      </w:pPr>
      <w:r>
        <w:rPr>
          <w:szCs w:val="24"/>
        </w:rPr>
        <w:t xml:space="preserve"> </w:t>
      </w:r>
    </w:p>
    <w:p w:rsidR="00E6625F" w:rsidRDefault="007F18E0">
      <w:pPr>
        <w:jc w:val="right"/>
        <w:rPr>
          <w:szCs w:val="24"/>
        </w:rPr>
      </w:pPr>
      <w:r>
        <w:rPr>
          <w:szCs w:val="24"/>
        </w:rPr>
        <w:t xml:space="preserve">     от </w:t>
      </w:r>
      <w:r w:rsidR="00B64DBF">
        <w:rPr>
          <w:szCs w:val="24"/>
        </w:rPr>
        <w:t>07.11.</w:t>
      </w:r>
      <w:r w:rsidR="000E3887">
        <w:rPr>
          <w:szCs w:val="24"/>
        </w:rPr>
        <w:t>2023г.</w:t>
      </w:r>
      <w:r w:rsidR="00AC48F5">
        <w:rPr>
          <w:szCs w:val="24"/>
        </w:rPr>
        <w:t xml:space="preserve"> № </w:t>
      </w:r>
      <w:r w:rsidR="00B64DBF">
        <w:rPr>
          <w:szCs w:val="24"/>
        </w:rPr>
        <w:t>592</w:t>
      </w:r>
    </w:p>
    <w:p w:rsidR="00E6625F" w:rsidRDefault="00E6625F">
      <w:pPr>
        <w:jc w:val="right"/>
        <w:rPr>
          <w:szCs w:val="24"/>
        </w:rPr>
      </w:pPr>
    </w:p>
    <w:p w:rsidR="00E6625F" w:rsidRDefault="00E6625F">
      <w:pPr>
        <w:jc w:val="right"/>
      </w:pPr>
    </w:p>
    <w:p w:rsidR="00E6625F" w:rsidRDefault="00E6625F">
      <w:pPr>
        <w:jc w:val="right"/>
      </w:pPr>
    </w:p>
    <w:p w:rsidR="00E6625F" w:rsidRDefault="007F18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E6625F" w:rsidRDefault="007F18E0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r w:rsidR="003D0575">
        <w:rPr>
          <w:b/>
          <w:sz w:val="24"/>
          <w:szCs w:val="24"/>
        </w:rPr>
        <w:t>Низинское сельское поселение</w:t>
      </w:r>
      <w:r>
        <w:rPr>
          <w:b/>
          <w:sz w:val="24"/>
          <w:szCs w:val="24"/>
        </w:rPr>
        <w:t xml:space="preserve"> на </w:t>
      </w:r>
      <w:r w:rsidR="000E3887">
        <w:rPr>
          <w:b/>
          <w:sz w:val="24"/>
          <w:szCs w:val="24"/>
        </w:rPr>
        <w:t>2024</w:t>
      </w:r>
      <w:r>
        <w:rPr>
          <w:b/>
          <w:sz w:val="24"/>
          <w:szCs w:val="24"/>
        </w:rPr>
        <w:t xml:space="preserve"> год </w:t>
      </w:r>
    </w:p>
    <w:p w:rsidR="00E6625F" w:rsidRDefault="00E6625F">
      <w:pPr>
        <w:jc w:val="center"/>
        <w:rPr>
          <w:b/>
          <w:spacing w:val="-2"/>
          <w:sz w:val="24"/>
          <w:szCs w:val="24"/>
        </w:rPr>
      </w:pPr>
    </w:p>
    <w:p w:rsidR="00E6625F" w:rsidRDefault="007F18E0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E6625F" w:rsidRDefault="00E6625F">
      <w:pPr>
        <w:jc w:val="center"/>
        <w:rPr>
          <w:b/>
          <w:spacing w:val="-2"/>
          <w:sz w:val="24"/>
          <w:szCs w:val="24"/>
        </w:rPr>
      </w:pPr>
    </w:p>
    <w:p w:rsidR="00E6625F" w:rsidRDefault="007F1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по муниципальному </w:t>
      </w:r>
      <w:r w:rsidR="00B57F6C">
        <w:rPr>
          <w:sz w:val="24"/>
          <w:szCs w:val="24"/>
        </w:rPr>
        <w:t xml:space="preserve">жилищному </w:t>
      </w:r>
      <w:r>
        <w:rPr>
          <w:sz w:val="24"/>
          <w:szCs w:val="24"/>
        </w:rPr>
        <w:t xml:space="preserve">контролю на территории муниципального образования </w:t>
      </w:r>
      <w:r w:rsidR="003D0575" w:rsidRPr="003D0575">
        <w:rPr>
          <w:sz w:val="24"/>
          <w:szCs w:val="24"/>
        </w:rPr>
        <w:t xml:space="preserve">Низинское сельское поселение муниципального образования Ломоносовский муниципальный район </w:t>
      </w:r>
      <w:r w:rsidR="000E3887">
        <w:rPr>
          <w:sz w:val="24"/>
          <w:szCs w:val="24"/>
        </w:rPr>
        <w:t>Ленинградской области на 2024</w:t>
      </w:r>
      <w:r>
        <w:rPr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далее – Программа профилактики</w:t>
      </w:r>
      <w:r>
        <w:rPr>
          <w:sz w:val="24"/>
          <w:szCs w:val="24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86635B">
        <w:rPr>
          <w:sz w:val="24"/>
          <w:szCs w:val="24"/>
        </w:rPr>
        <w:t xml:space="preserve">, </w:t>
      </w:r>
      <w:r w:rsidR="0086635B">
        <w:rPr>
          <w:rFonts w:eastAsiaTheme="minorHAnsi"/>
          <w:sz w:val="24"/>
          <w:szCs w:val="24"/>
          <w:lang w:eastAsia="en-US"/>
        </w:rPr>
        <w:t xml:space="preserve">решением </w:t>
      </w:r>
      <w:r w:rsidR="003D0575">
        <w:rPr>
          <w:sz w:val="24"/>
          <w:szCs w:val="24"/>
        </w:rPr>
        <w:t>С</w:t>
      </w:r>
      <w:r w:rsidR="0086635B">
        <w:rPr>
          <w:sz w:val="24"/>
          <w:szCs w:val="24"/>
        </w:rPr>
        <w:t xml:space="preserve">овета депутатов муниципального образования </w:t>
      </w:r>
      <w:r w:rsidR="003D0575" w:rsidRPr="003D0575">
        <w:rPr>
          <w:sz w:val="24"/>
          <w:szCs w:val="24"/>
        </w:rPr>
        <w:t>Низинское сельское поселение</w:t>
      </w:r>
      <w:r w:rsidR="0086635B">
        <w:rPr>
          <w:sz w:val="24"/>
          <w:szCs w:val="24"/>
        </w:rPr>
        <w:t xml:space="preserve"> от </w:t>
      </w:r>
      <w:r w:rsidR="000E3887">
        <w:rPr>
          <w:sz w:val="24"/>
          <w:szCs w:val="24"/>
        </w:rPr>
        <w:t>24.08</w:t>
      </w:r>
      <w:r w:rsidR="00437BA5">
        <w:rPr>
          <w:sz w:val="24"/>
          <w:szCs w:val="24"/>
        </w:rPr>
        <w:t>.</w:t>
      </w:r>
      <w:r w:rsidR="000E3887">
        <w:rPr>
          <w:sz w:val="24"/>
          <w:szCs w:val="24"/>
        </w:rPr>
        <w:t>2023</w:t>
      </w:r>
      <w:r w:rsidR="0086635B">
        <w:rPr>
          <w:sz w:val="24"/>
          <w:szCs w:val="24"/>
        </w:rPr>
        <w:t xml:space="preserve"> №</w:t>
      </w:r>
      <w:r w:rsidR="000E3887">
        <w:rPr>
          <w:sz w:val="24"/>
          <w:szCs w:val="24"/>
        </w:rPr>
        <w:t>28</w:t>
      </w:r>
      <w:r w:rsidR="0086635B">
        <w:rPr>
          <w:sz w:val="24"/>
          <w:szCs w:val="24"/>
        </w:rPr>
        <w:t xml:space="preserve"> </w:t>
      </w:r>
      <w:r w:rsidR="0086635B">
        <w:rPr>
          <w:sz w:val="24"/>
          <w:szCs w:val="28"/>
        </w:rPr>
        <w:t xml:space="preserve">«Об утверждении Положения о муниципальном жилищном </w:t>
      </w:r>
      <w:r w:rsidR="0086635B">
        <w:rPr>
          <w:sz w:val="24"/>
          <w:szCs w:val="24"/>
        </w:rPr>
        <w:t>контроле на территории</w:t>
      </w:r>
      <w:r w:rsidR="0086635B">
        <w:rPr>
          <w:sz w:val="24"/>
          <w:szCs w:val="28"/>
        </w:rPr>
        <w:t xml:space="preserve"> муниципального образования </w:t>
      </w:r>
      <w:r w:rsidR="003D0575" w:rsidRPr="003D0575">
        <w:rPr>
          <w:sz w:val="24"/>
          <w:szCs w:val="28"/>
        </w:rPr>
        <w:t>Низинское сельское поселение муниципального образования Ломоносовский муниципальный район</w:t>
      </w:r>
      <w:r w:rsidR="0086635B">
        <w:rPr>
          <w:sz w:val="24"/>
          <w:szCs w:val="28"/>
        </w:rPr>
        <w:t xml:space="preserve"> Ленинградской области»,</w:t>
      </w:r>
      <w:r>
        <w:rPr>
          <w:sz w:val="24"/>
          <w:szCs w:val="24"/>
        </w:rPr>
        <w:t xml:space="preserve"> в целях организации проведения администрацией муниципального образования </w:t>
      </w:r>
      <w:r w:rsidR="003D0575" w:rsidRPr="003D0575">
        <w:rPr>
          <w:sz w:val="24"/>
          <w:szCs w:val="24"/>
        </w:rPr>
        <w:t xml:space="preserve">Низинское сельское поселение муниципального образования Ломоносовский муниципальный район </w:t>
      </w:r>
      <w:r>
        <w:rPr>
          <w:sz w:val="24"/>
          <w:szCs w:val="24"/>
        </w:rPr>
        <w:t>Ленинградской области (</w:t>
      </w:r>
      <w:r>
        <w:rPr>
          <w:i/>
          <w:sz w:val="24"/>
          <w:szCs w:val="24"/>
        </w:rPr>
        <w:t>далее – администрация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E6625F" w:rsidRDefault="007F1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 жилищного контроля.</w:t>
      </w:r>
    </w:p>
    <w:p w:rsidR="00E6625F" w:rsidRDefault="007F1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в 202</w:t>
      </w:r>
      <w:r w:rsidR="000E3887">
        <w:rPr>
          <w:sz w:val="24"/>
          <w:szCs w:val="24"/>
        </w:rPr>
        <w:t>4</w:t>
      </w:r>
      <w:r>
        <w:rPr>
          <w:sz w:val="24"/>
          <w:szCs w:val="24"/>
        </w:rPr>
        <w:t xml:space="preserve"> году и содержит описание текущего состояния муниципального жилищного контроля на территории муниципального образования </w:t>
      </w:r>
      <w:r w:rsidR="003D0575" w:rsidRPr="003D0575">
        <w:rPr>
          <w:sz w:val="24"/>
          <w:szCs w:val="24"/>
        </w:rPr>
        <w:t xml:space="preserve">Низинское сельское поселение муниципального образования Ломоносовский муниципальный район </w:t>
      </w:r>
      <w:r>
        <w:rPr>
          <w:sz w:val="24"/>
          <w:szCs w:val="24"/>
        </w:rPr>
        <w:t>Ленинградской области, проект плана мероприятий п</w:t>
      </w:r>
      <w:r w:rsidR="00AC48F5">
        <w:rPr>
          <w:sz w:val="24"/>
          <w:szCs w:val="24"/>
        </w:rPr>
        <w:t>о профилактике нарушений на 202</w:t>
      </w:r>
      <w:r w:rsidR="000E3887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:rsidR="00E6625F" w:rsidRDefault="00E6625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E6625F" w:rsidRDefault="007F18E0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E6625F" w:rsidRDefault="00E6625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E6625F" w:rsidRDefault="007F18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В соответствии с Положением </w:t>
      </w:r>
      <w:r>
        <w:rPr>
          <w:sz w:val="24"/>
          <w:szCs w:val="24"/>
        </w:rPr>
        <w:t xml:space="preserve">о порядке осуществления муниципального жилищного контроля на территории муниципального образования </w:t>
      </w:r>
      <w:r w:rsidR="003D0575" w:rsidRPr="003D0575">
        <w:rPr>
          <w:sz w:val="24"/>
          <w:szCs w:val="24"/>
        </w:rPr>
        <w:t>Низинское сельское поселение муниципального образования Ломоносовский муниципальный район</w:t>
      </w:r>
      <w:r>
        <w:rPr>
          <w:sz w:val="24"/>
          <w:szCs w:val="24"/>
        </w:rPr>
        <w:t xml:space="preserve"> Ленинградской области, утвержденным Решением Совета депутатов муниципального образования </w:t>
      </w:r>
      <w:r w:rsidR="003D0575" w:rsidRPr="003D0575">
        <w:rPr>
          <w:sz w:val="24"/>
          <w:szCs w:val="24"/>
        </w:rPr>
        <w:t xml:space="preserve">Низинское сельское поселение муниципального образования </w:t>
      </w:r>
      <w:r w:rsidR="003D0575" w:rsidRPr="003D0575">
        <w:rPr>
          <w:sz w:val="24"/>
          <w:szCs w:val="24"/>
        </w:rPr>
        <w:lastRenderedPageBreak/>
        <w:t xml:space="preserve">Ломоносовский муниципальный район </w:t>
      </w:r>
      <w:r>
        <w:rPr>
          <w:sz w:val="24"/>
          <w:szCs w:val="24"/>
        </w:rPr>
        <w:t xml:space="preserve">Ленинградской области </w:t>
      </w:r>
      <w:r w:rsidR="000E3887">
        <w:rPr>
          <w:sz w:val="24"/>
          <w:szCs w:val="24"/>
        </w:rPr>
        <w:t>от 24.08.2023</w:t>
      </w:r>
      <w:r w:rsidR="00437BA5" w:rsidRPr="00437BA5">
        <w:rPr>
          <w:sz w:val="24"/>
          <w:szCs w:val="24"/>
        </w:rPr>
        <w:t xml:space="preserve"> №</w:t>
      </w:r>
      <w:r w:rsidR="000E3887">
        <w:rPr>
          <w:sz w:val="24"/>
          <w:szCs w:val="24"/>
        </w:rPr>
        <w:t>28</w:t>
      </w:r>
      <w:r w:rsidRPr="0086635B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органом, осуществляющим муниципальный жилищный контроль на территории городского округа, является администрация муниципального образования </w:t>
      </w:r>
      <w:r w:rsidR="003D0575" w:rsidRPr="003D0575">
        <w:rPr>
          <w:sz w:val="24"/>
          <w:szCs w:val="24"/>
        </w:rPr>
        <w:t>Низинское сельское поселение муниципального образования Ломоносовский муниципальный район</w:t>
      </w:r>
      <w:r>
        <w:rPr>
          <w:sz w:val="24"/>
          <w:szCs w:val="24"/>
        </w:rPr>
        <w:t xml:space="preserve">. </w:t>
      </w:r>
    </w:p>
    <w:p w:rsidR="00E6625F" w:rsidRDefault="007F18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Структурное подразделение администрации </w:t>
      </w:r>
      <w:r w:rsidR="003D0575" w:rsidRPr="003D0575">
        <w:rPr>
          <w:sz w:val="24"/>
          <w:szCs w:val="24"/>
        </w:rPr>
        <w:t>Низинское сельское поселение муниципального образования Ломоносовский муниципальный район</w:t>
      </w:r>
      <w:r>
        <w:rPr>
          <w:sz w:val="24"/>
          <w:szCs w:val="24"/>
        </w:rPr>
        <w:t xml:space="preserve">, ответственное за реализацию функции по осуществлению муниципального жилищного контроля,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жилищному контролю </w:t>
      </w:r>
      <w:r w:rsidR="003D0575">
        <w:rPr>
          <w:i/>
          <w:sz w:val="24"/>
          <w:szCs w:val="24"/>
        </w:rPr>
        <w:t>(далее – инспектор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, назначаются муниципальным правовым актом администрации </w:t>
      </w:r>
      <w:r w:rsidR="003D0575" w:rsidRPr="003D0575">
        <w:rPr>
          <w:sz w:val="24"/>
          <w:szCs w:val="24"/>
        </w:rPr>
        <w:t>Низинское сельское поселение муниципального образования Ломоносовский муниципальный район</w:t>
      </w:r>
      <w:r>
        <w:rPr>
          <w:sz w:val="24"/>
          <w:szCs w:val="24"/>
        </w:rPr>
        <w:t>.</w:t>
      </w:r>
    </w:p>
    <w:p w:rsidR="00AC48F5" w:rsidRPr="00AC48F5" w:rsidRDefault="00AC48F5" w:rsidP="00AC48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F5">
        <w:rPr>
          <w:sz w:val="24"/>
          <w:szCs w:val="24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(далее – Постановлени</w:t>
      </w:r>
      <w:r w:rsidR="004138F7">
        <w:rPr>
          <w:sz w:val="24"/>
          <w:szCs w:val="24"/>
        </w:rPr>
        <w:t>е Правительства РФ № 336) в 2023</w:t>
      </w:r>
      <w:r w:rsidRPr="00AC48F5">
        <w:rPr>
          <w:sz w:val="24"/>
          <w:szCs w:val="24"/>
        </w:rPr>
        <w:t xml:space="preserve"> году установлены исключительные основания для организации и проведения внеплановых контрольных (надзорных) мероприятий, внеплановых проверок, профилактические мероприятия при осуществлении муниципального контроля являются приоритетным направлением, допускается также проведение контрольных (надзорных) мероприятий без взаимодействия с контролируемым лицом.</w:t>
      </w:r>
    </w:p>
    <w:p w:rsidR="00AC48F5" w:rsidRDefault="00AC48F5" w:rsidP="00AC48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F5">
        <w:rPr>
          <w:sz w:val="24"/>
          <w:szCs w:val="24"/>
        </w:rPr>
        <w:t>В рамках профилактики рисков причинения вреда (ущерба) охр</w:t>
      </w:r>
      <w:r w:rsidR="004138F7">
        <w:rPr>
          <w:sz w:val="24"/>
          <w:szCs w:val="24"/>
        </w:rPr>
        <w:t>аняемым законом ценностям в 2023</w:t>
      </w:r>
      <w:r w:rsidRPr="00AC48F5">
        <w:rPr>
          <w:sz w:val="24"/>
          <w:szCs w:val="24"/>
        </w:rPr>
        <w:t xml:space="preserve"> году администрации Низинское сельское поселение муниципального образования Ломоносовский муниципальный район осуществлялись следующие мероприятия:</w:t>
      </w:r>
    </w:p>
    <w:p w:rsidR="00AC48F5" w:rsidRPr="00AC48F5" w:rsidRDefault="00AC48F5" w:rsidP="00AC48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C48F5">
        <w:rPr>
          <w:sz w:val="24"/>
          <w:szCs w:val="24"/>
        </w:rPr>
        <w:t xml:space="preserve">Информирование. Осуществлялось постоянно, посредством размещения сведений, предусмотренных </w:t>
      </w:r>
      <w:hyperlink r:id="rId9" w:history="1">
        <w:r w:rsidRPr="00AC48F5">
          <w:rPr>
            <w:rStyle w:val="a7"/>
            <w:sz w:val="24"/>
            <w:szCs w:val="24"/>
          </w:rPr>
          <w:t>частью 3 статьи 46</w:t>
        </w:r>
      </w:hyperlink>
      <w:r w:rsidRPr="00AC48F5">
        <w:rPr>
          <w:sz w:val="24"/>
          <w:szCs w:val="24"/>
        </w:rPr>
        <w:t xml:space="preserve"> Закона № 248-ФЗ на официальном сайте в сети «Интернет»</w:t>
      </w:r>
    </w:p>
    <w:p w:rsidR="00AC48F5" w:rsidRPr="00AC48F5" w:rsidRDefault="00AC48F5" w:rsidP="00AC48F5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2. </w:t>
      </w:r>
      <w:r w:rsidRPr="00AC48F5">
        <w:rPr>
          <w:sz w:val="24"/>
          <w:szCs w:val="24"/>
          <w:lang w:eastAsia="zh-CN"/>
        </w:rPr>
        <w:t>Консультирование. Осуществлялось по обращениям контролируемых лиц и их представителей по вопросам, связанным с организацией и осуществлением муниципального жилищного контроля: о порядке проведения контрольных мероприятий, о периодичности проведения контрольных мероприятий, о порядке принятия решений по итогам контрольных мероприятий, о порядке обжалования решений контрольного органа.</w:t>
      </w:r>
    </w:p>
    <w:p w:rsidR="00AC48F5" w:rsidRPr="00AC48F5" w:rsidRDefault="00AC48F5" w:rsidP="00AC48F5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4"/>
          <w:szCs w:val="24"/>
          <w:lang w:eastAsia="zh-CN"/>
        </w:rPr>
      </w:pPr>
      <w:r>
        <w:rPr>
          <w:iCs/>
          <w:sz w:val="24"/>
          <w:szCs w:val="24"/>
          <w:lang w:eastAsia="zh-CN"/>
        </w:rPr>
        <w:t xml:space="preserve">3. </w:t>
      </w:r>
      <w:r w:rsidRPr="00AC48F5">
        <w:rPr>
          <w:iCs/>
          <w:sz w:val="24"/>
          <w:szCs w:val="24"/>
          <w:lang w:eastAsia="zh-CN"/>
        </w:rPr>
        <w:t xml:space="preserve">Объявление предостережения. </w:t>
      </w:r>
      <w:r w:rsidRPr="00AC48F5">
        <w:rPr>
          <w:sz w:val="24"/>
          <w:szCs w:val="24"/>
          <w:lang w:eastAsia="zh-CN"/>
        </w:rPr>
        <w:t>Объявлялось контрольным органом и направлялось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E6625F" w:rsidRDefault="00E6625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Оценка эффективности реа</w:t>
      </w:r>
      <w:r w:rsidR="004138F7">
        <w:rPr>
          <w:sz w:val="24"/>
          <w:szCs w:val="24"/>
        </w:rPr>
        <w:t>лизации программы по итогам 2023</w:t>
      </w:r>
      <w:r w:rsidRPr="0091227E">
        <w:rPr>
          <w:sz w:val="24"/>
          <w:szCs w:val="24"/>
        </w:rPr>
        <w:t xml:space="preserve"> года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1843"/>
        <w:gridCol w:w="1134"/>
      </w:tblGrid>
      <w:tr w:rsidR="0091227E" w:rsidRPr="0091227E" w:rsidTr="00E524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91227E" w:rsidRDefault="0091227E" w:rsidP="0091227E">
            <w:pPr>
              <w:autoSpaceDE w:val="0"/>
              <w:autoSpaceDN w:val="0"/>
              <w:adjustRightInd w:val="0"/>
              <w:spacing w:before="22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91227E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91227E" w:rsidRDefault="0091227E" w:rsidP="0091227E">
            <w:pPr>
              <w:autoSpaceDE w:val="0"/>
              <w:autoSpaceDN w:val="0"/>
              <w:adjustRightInd w:val="0"/>
              <w:spacing w:before="22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91227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91227E" w:rsidRDefault="0091227E" w:rsidP="0026426B">
            <w:pPr>
              <w:autoSpaceDE w:val="0"/>
              <w:autoSpaceDN w:val="0"/>
              <w:adjustRightInd w:val="0"/>
              <w:spacing w:before="220"/>
              <w:contextualSpacing/>
              <w:jc w:val="both"/>
              <w:rPr>
                <w:sz w:val="24"/>
                <w:szCs w:val="24"/>
              </w:rPr>
            </w:pPr>
            <w:r w:rsidRPr="0091227E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91227E" w:rsidRDefault="0091227E" w:rsidP="0026426B">
            <w:pPr>
              <w:autoSpaceDE w:val="0"/>
              <w:autoSpaceDN w:val="0"/>
              <w:adjustRightInd w:val="0"/>
              <w:spacing w:before="220"/>
              <w:contextualSpacing/>
              <w:jc w:val="both"/>
              <w:rPr>
                <w:sz w:val="24"/>
                <w:szCs w:val="24"/>
              </w:rPr>
            </w:pPr>
            <w:r w:rsidRPr="0091227E">
              <w:rPr>
                <w:sz w:val="24"/>
                <w:szCs w:val="24"/>
              </w:rPr>
              <w:t>Эффект</w:t>
            </w:r>
          </w:p>
        </w:tc>
      </w:tr>
      <w:tr w:rsidR="0091227E" w:rsidRPr="0091227E" w:rsidTr="00E524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91227E" w:rsidRDefault="0091227E" w:rsidP="0091227E">
            <w:pPr>
              <w:autoSpaceDE w:val="0"/>
              <w:autoSpaceDN w:val="0"/>
              <w:adjustRightInd w:val="0"/>
              <w:spacing w:before="22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91227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91227E" w:rsidRDefault="0091227E" w:rsidP="0091227E">
            <w:pPr>
              <w:autoSpaceDE w:val="0"/>
              <w:autoSpaceDN w:val="0"/>
              <w:adjustRightInd w:val="0"/>
              <w:spacing w:before="22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91227E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91227E" w:rsidRDefault="0091227E" w:rsidP="0091227E">
            <w:pPr>
              <w:autoSpaceDE w:val="0"/>
              <w:autoSpaceDN w:val="0"/>
              <w:adjustRightInd w:val="0"/>
              <w:spacing w:before="22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91227E">
              <w:rPr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91227E" w:rsidRDefault="0091227E" w:rsidP="0091227E">
            <w:pPr>
              <w:autoSpaceDE w:val="0"/>
              <w:autoSpaceDN w:val="0"/>
              <w:adjustRightInd w:val="0"/>
              <w:spacing w:before="22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91227E">
              <w:rPr>
                <w:sz w:val="24"/>
                <w:szCs w:val="24"/>
              </w:rPr>
              <w:t>Эффективный</w:t>
            </w:r>
          </w:p>
        </w:tc>
      </w:tr>
      <w:tr w:rsidR="0091227E" w:rsidRPr="0091227E" w:rsidTr="00E524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91227E" w:rsidRDefault="0091227E" w:rsidP="0091227E">
            <w:pPr>
              <w:autoSpaceDE w:val="0"/>
              <w:autoSpaceDN w:val="0"/>
              <w:adjustRightInd w:val="0"/>
              <w:spacing w:before="22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91227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91227E" w:rsidRDefault="0091227E" w:rsidP="0091227E">
            <w:pPr>
              <w:autoSpaceDE w:val="0"/>
              <w:autoSpaceDN w:val="0"/>
              <w:adjustRightInd w:val="0"/>
              <w:spacing w:before="22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91227E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91227E" w:rsidRDefault="0091227E" w:rsidP="0091227E">
            <w:pPr>
              <w:autoSpaceDE w:val="0"/>
              <w:autoSpaceDN w:val="0"/>
              <w:adjustRightInd w:val="0"/>
              <w:spacing w:before="22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91227E">
              <w:rPr>
                <w:sz w:val="24"/>
                <w:szCs w:val="24"/>
              </w:rPr>
              <w:t>100 % от числа обратившихся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91227E" w:rsidRDefault="0091227E" w:rsidP="0091227E">
            <w:pPr>
              <w:autoSpaceDE w:val="0"/>
              <w:autoSpaceDN w:val="0"/>
              <w:adjustRightInd w:val="0"/>
              <w:spacing w:before="22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91227E">
              <w:rPr>
                <w:sz w:val="24"/>
                <w:szCs w:val="24"/>
              </w:rPr>
              <w:t>Эффективный</w:t>
            </w:r>
          </w:p>
        </w:tc>
      </w:tr>
      <w:tr w:rsidR="0091227E" w:rsidRPr="0091227E" w:rsidTr="00E524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91227E" w:rsidRDefault="0091227E" w:rsidP="0091227E">
            <w:pPr>
              <w:autoSpaceDE w:val="0"/>
              <w:autoSpaceDN w:val="0"/>
              <w:adjustRightInd w:val="0"/>
              <w:spacing w:before="22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91227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91227E" w:rsidRDefault="0091227E" w:rsidP="0091227E">
            <w:pPr>
              <w:autoSpaceDE w:val="0"/>
              <w:autoSpaceDN w:val="0"/>
              <w:adjustRightInd w:val="0"/>
              <w:spacing w:before="22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91227E"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91227E" w:rsidRDefault="0091227E" w:rsidP="0091227E">
            <w:pPr>
              <w:autoSpaceDE w:val="0"/>
              <w:autoSpaceDN w:val="0"/>
              <w:adjustRightInd w:val="0"/>
              <w:spacing w:before="22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91227E">
              <w:rPr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91227E" w:rsidRDefault="0091227E" w:rsidP="0091227E">
            <w:pPr>
              <w:autoSpaceDE w:val="0"/>
              <w:autoSpaceDN w:val="0"/>
              <w:adjustRightInd w:val="0"/>
              <w:spacing w:before="22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91227E">
              <w:rPr>
                <w:sz w:val="24"/>
                <w:szCs w:val="24"/>
              </w:rPr>
              <w:t>Эффективный</w:t>
            </w:r>
          </w:p>
        </w:tc>
      </w:tr>
    </w:tbl>
    <w:p w:rsid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b/>
          <w:sz w:val="24"/>
          <w:szCs w:val="24"/>
        </w:rPr>
      </w:pP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b/>
          <w:sz w:val="24"/>
          <w:szCs w:val="24"/>
        </w:rPr>
      </w:pPr>
      <w:r w:rsidRPr="0091227E">
        <w:rPr>
          <w:b/>
          <w:sz w:val="24"/>
          <w:szCs w:val="24"/>
        </w:rPr>
        <w:t>Раздел 2. Цели и задачи Программы профилактики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b/>
          <w:iCs/>
          <w:sz w:val="24"/>
          <w:szCs w:val="24"/>
        </w:rPr>
      </w:pP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2.2. Основными целями Программы профилактики являются: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-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 и (или) причинению вреда (ущерба) охраняемым законом ценностям;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- снижение административной нагрузки на контролируемые лица;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- снижение уровня ущерба охраняемым законом ценностям.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2.3. Задачами Программы профилактики являются: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граждан;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- оценка возможной угрозы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- оценка состояния подконтрольной среды и установление зависимости видов и интенсивности профилактических мероприятий в зависимости от установленных индикаторов риска нарушений обязательных требований.</w:t>
      </w:r>
    </w:p>
    <w:p w:rsidR="0091227E" w:rsidRDefault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9122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E6625F" w:rsidRDefault="00E6625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E6625F" w:rsidRDefault="00E6625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6625F" w:rsidRDefault="007F18E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E6625F" w:rsidRDefault="00E662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e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E6625F">
        <w:tc>
          <w:tcPr>
            <w:tcW w:w="567" w:type="dxa"/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6625F">
        <w:tc>
          <w:tcPr>
            <w:tcW w:w="567" w:type="dxa"/>
            <w:vAlign w:val="center"/>
          </w:tcPr>
          <w:p w:rsidR="00E6625F" w:rsidRDefault="007F18E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E6625F" w:rsidRDefault="007F18E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E6625F" w:rsidRDefault="007F18E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:rsidR="00E6625F" w:rsidRDefault="007F18E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6" w:history="1">
              <w:r>
                <w:rPr>
                  <w:sz w:val="24"/>
                  <w:szCs w:val="24"/>
                </w:rPr>
                <w:t>частью 3 статьи 46</w:t>
              </w:r>
            </w:hyperlink>
            <w:r>
              <w:rPr>
                <w:sz w:val="24"/>
                <w:szCs w:val="24"/>
              </w:rPr>
              <w:t xml:space="preserve"> Закона № 248-ФЗ на официальном сайте муниципального образования </w:t>
            </w:r>
            <w:r w:rsidR="00B57F6C" w:rsidRPr="00B57F6C">
              <w:rPr>
                <w:sz w:val="24"/>
                <w:szCs w:val="24"/>
              </w:rPr>
              <w:t xml:space="preserve">Низинское сельское поселение муниципального образования Ломоносовский муниципальный район </w:t>
            </w:r>
            <w:r>
              <w:rPr>
                <w:sz w:val="24"/>
                <w:szCs w:val="24"/>
              </w:rPr>
              <w:t xml:space="preserve">Ленинградской области в сети «Интернет»: </w:t>
            </w:r>
            <w:hyperlink r:id="rId17" w:history="1">
              <w:r w:rsidR="00B57F6C" w:rsidRPr="00B57F6C">
                <w:rPr>
                  <w:rStyle w:val="a7"/>
                  <w:lang w:val="en-US"/>
                </w:rPr>
                <w:t>www</w:t>
              </w:r>
              <w:r w:rsidR="00B57F6C" w:rsidRPr="00B57F6C">
                <w:rPr>
                  <w:rStyle w:val="a7"/>
                </w:rPr>
                <w:t>.</w:t>
              </w:r>
              <w:r w:rsidR="00B57F6C" w:rsidRPr="00B57F6C">
                <w:rPr>
                  <w:rStyle w:val="a7"/>
                  <w:lang w:val="en-US"/>
                </w:rPr>
                <w:t>nizino</w:t>
              </w:r>
              <w:r w:rsidR="00B57F6C" w:rsidRPr="00B57F6C">
                <w:rPr>
                  <w:rStyle w:val="a7"/>
                </w:rPr>
                <w:t>.</w:t>
              </w:r>
              <w:r w:rsidR="00B57F6C" w:rsidRPr="00B57F6C">
                <w:rPr>
                  <w:rStyle w:val="a7"/>
                  <w:lang w:val="en-US"/>
                </w:rPr>
                <w:t>info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(далее – официальный сайт),</w:t>
            </w:r>
            <w:r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6625F" w:rsidRDefault="007F18E0" w:rsidP="0091227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Размещенные сведения на указанном официальном сайте поддерживаются в актуальном состоянии </w:t>
            </w:r>
          </w:p>
        </w:tc>
        <w:tc>
          <w:tcPr>
            <w:tcW w:w="3402" w:type="dxa"/>
            <w:vAlign w:val="center"/>
          </w:tcPr>
          <w:p w:rsidR="00E6625F" w:rsidRDefault="007F18E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контроля администрации</w:t>
            </w:r>
          </w:p>
        </w:tc>
      </w:tr>
      <w:tr w:rsidR="00E6625F">
        <w:tc>
          <w:tcPr>
            <w:tcW w:w="567" w:type="dxa"/>
            <w:vAlign w:val="center"/>
          </w:tcPr>
          <w:p w:rsidR="00E6625F" w:rsidRDefault="007F18E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E6625F" w:rsidRDefault="007F18E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91227E" w:rsidRPr="0091227E" w:rsidRDefault="0091227E" w:rsidP="0091227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1227E">
              <w:rPr>
                <w:iCs/>
                <w:sz w:val="24"/>
                <w:szCs w:val="24"/>
              </w:rPr>
              <w:t>По обращениям контролируемых лиц или их представителей.</w:t>
            </w:r>
          </w:p>
          <w:p w:rsidR="0091227E" w:rsidRPr="0091227E" w:rsidRDefault="0091227E" w:rsidP="0091227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1227E">
              <w:rPr>
                <w:iCs/>
                <w:sz w:val="24"/>
                <w:szCs w:val="24"/>
              </w:rPr>
              <w:t xml:space="preserve">Консультирование контролируемых лиц и их представителей осуществляется по следующим вопросам: </w:t>
            </w:r>
          </w:p>
          <w:p w:rsidR="0091227E" w:rsidRPr="0091227E" w:rsidRDefault="0091227E" w:rsidP="0091227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1227E">
              <w:rPr>
                <w:iCs/>
                <w:sz w:val="24"/>
                <w:szCs w:val="24"/>
              </w:rPr>
              <w:t>1) порядок проведения контрольных мероприятий;</w:t>
            </w:r>
          </w:p>
          <w:p w:rsidR="0091227E" w:rsidRPr="0091227E" w:rsidRDefault="0091227E" w:rsidP="0091227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1227E">
              <w:rPr>
                <w:iCs/>
                <w:sz w:val="24"/>
                <w:szCs w:val="24"/>
              </w:rPr>
              <w:t>2) периодичность проведения контрольных мероприятий;</w:t>
            </w:r>
          </w:p>
          <w:p w:rsidR="0091227E" w:rsidRPr="0091227E" w:rsidRDefault="0091227E" w:rsidP="0091227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1227E">
              <w:rPr>
                <w:iCs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91227E" w:rsidRPr="0091227E" w:rsidRDefault="0091227E" w:rsidP="0091227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1227E">
              <w:rPr>
                <w:iCs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91227E" w:rsidRPr="0091227E" w:rsidRDefault="0091227E" w:rsidP="0091227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1227E">
              <w:rPr>
                <w:iCs/>
                <w:sz w:val="24"/>
                <w:szCs w:val="24"/>
              </w:rPr>
              <w:t>Консультирование контролируемых лиц осуществляется:</w:t>
            </w:r>
          </w:p>
          <w:p w:rsidR="0091227E" w:rsidRPr="0091227E" w:rsidRDefault="0091227E" w:rsidP="0091227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1227E">
              <w:rPr>
                <w:iCs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 и не должно превышать 10 минут.</w:t>
            </w:r>
          </w:p>
          <w:p w:rsidR="0091227E" w:rsidRPr="0091227E" w:rsidRDefault="0091227E" w:rsidP="0091227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1227E">
              <w:rPr>
                <w:iCs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91227E" w:rsidRPr="0091227E" w:rsidRDefault="0091227E" w:rsidP="0091227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1227E">
              <w:rPr>
                <w:iCs/>
                <w:sz w:val="24"/>
                <w:szCs w:val="24"/>
              </w:rPr>
              <w:t>Контрольный орган не предоставляет контролируемым лицам и их</w:t>
            </w:r>
          </w:p>
          <w:p w:rsidR="0091227E" w:rsidRPr="0091227E" w:rsidRDefault="0091227E" w:rsidP="0091227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1227E">
              <w:rPr>
                <w:iCs/>
                <w:sz w:val="24"/>
                <w:szCs w:val="24"/>
              </w:rPr>
              <w:lastRenderedPageBreak/>
              <w:t>представителям в письменной форме информацию по вопросам устного консультирования.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 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91227E" w:rsidRPr="0091227E" w:rsidRDefault="0091227E" w:rsidP="0091227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1227E">
              <w:rPr>
                <w:iCs/>
                <w:sz w:val="24"/>
                <w:szCs w:val="24"/>
              </w:rPr>
              <w:t xml:space="preserve">Информация о месте приема, а также об установленных для приема днях и часах размещается на официальном сайте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в сети «Интернет»: </w:t>
            </w:r>
            <w:hyperlink r:id="rId18" w:history="1">
              <w:r w:rsidRPr="0091227E">
                <w:rPr>
                  <w:rStyle w:val="a7"/>
                  <w:iCs/>
                  <w:sz w:val="24"/>
                  <w:szCs w:val="24"/>
                  <w:lang w:val="en-US"/>
                </w:rPr>
                <w:t>www</w:t>
              </w:r>
              <w:r w:rsidRPr="0091227E">
                <w:rPr>
                  <w:rStyle w:val="a7"/>
                  <w:iCs/>
                  <w:sz w:val="24"/>
                  <w:szCs w:val="24"/>
                </w:rPr>
                <w:t>.</w:t>
              </w:r>
              <w:r w:rsidRPr="0091227E">
                <w:rPr>
                  <w:rStyle w:val="a7"/>
                  <w:iCs/>
                  <w:sz w:val="24"/>
                  <w:szCs w:val="24"/>
                  <w:lang w:val="en-US"/>
                </w:rPr>
                <w:t>nizino</w:t>
              </w:r>
              <w:r w:rsidRPr="0091227E">
                <w:rPr>
                  <w:rStyle w:val="a7"/>
                  <w:iCs/>
                  <w:sz w:val="24"/>
                  <w:szCs w:val="24"/>
                </w:rPr>
                <w:t>.</w:t>
              </w:r>
              <w:r w:rsidRPr="0091227E">
                <w:rPr>
                  <w:rStyle w:val="a7"/>
                  <w:iCs/>
                  <w:sz w:val="24"/>
                  <w:szCs w:val="24"/>
                  <w:lang w:val="en-US"/>
                </w:rPr>
                <w:t>info</w:t>
              </w:r>
            </w:hyperlink>
            <w:r w:rsidRPr="0091227E">
              <w:rPr>
                <w:iCs/>
                <w:sz w:val="24"/>
                <w:szCs w:val="24"/>
              </w:rPr>
              <w:t>.</w:t>
            </w:r>
          </w:p>
          <w:p w:rsidR="00E6625F" w:rsidRDefault="0091227E" w:rsidP="0091227E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1227E">
              <w:rPr>
                <w:iCs/>
                <w:sz w:val="24"/>
                <w:szCs w:val="24"/>
              </w:rPr>
              <w:t>Консультирование осуществляется без взимания платы</w:t>
            </w:r>
          </w:p>
          <w:p w:rsidR="00E6625F" w:rsidRDefault="00E6625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625F" w:rsidRDefault="007F18E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муниципального контроля администрации</w:t>
            </w:r>
          </w:p>
        </w:tc>
      </w:tr>
      <w:tr w:rsidR="00E6625F">
        <w:tc>
          <w:tcPr>
            <w:tcW w:w="567" w:type="dxa"/>
            <w:vAlign w:val="center"/>
          </w:tcPr>
          <w:p w:rsidR="00E6625F" w:rsidRDefault="007F18E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91227E" w:rsidRPr="0091227E" w:rsidRDefault="0091227E" w:rsidP="0091227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1227E">
              <w:rPr>
                <w:color w:val="000000"/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91227E" w:rsidRPr="0091227E" w:rsidRDefault="0091227E" w:rsidP="0091227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1227E">
              <w:rPr>
                <w:color w:val="000000"/>
                <w:sz w:val="24"/>
                <w:szCs w:val="24"/>
              </w:rPr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форме, утвержденной приказом Минэкономразвития России от 31.03.2021 № 151 «О типовых формах документов, используемых контрольным (надзорным) органом» или в форме электронного документа и направляется в адрес контролируемого лица. Объявляемые предостережения регистрируются инспектором в журнале учета предостережений с присвоением регистрационного номера. Контролируемое лицо в течение десяти рабочих дней со дня получения </w:t>
            </w:r>
            <w:r w:rsidRPr="0091227E">
              <w:rPr>
                <w:color w:val="000000"/>
                <w:sz w:val="24"/>
                <w:szCs w:val="24"/>
              </w:rPr>
              <w:lastRenderedPageBreak/>
              <w:t>предостережения вправе подать в контрольный орган возражение в отношении предостережения.</w:t>
            </w:r>
          </w:p>
          <w:p w:rsidR="0091227E" w:rsidRPr="0091227E" w:rsidRDefault="0091227E" w:rsidP="0091227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1227E">
              <w:rPr>
                <w:color w:val="000000"/>
                <w:sz w:val="24"/>
                <w:szCs w:val="24"/>
              </w:rPr>
              <w:t>В возражении контролируемым лицом указываются:</w:t>
            </w:r>
          </w:p>
          <w:p w:rsidR="0091227E" w:rsidRPr="0091227E" w:rsidRDefault="0091227E" w:rsidP="0091227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1227E">
              <w:rPr>
                <w:color w:val="000000"/>
                <w:sz w:val="24"/>
                <w:szCs w:val="24"/>
              </w:rPr>
              <w:t>а) 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      </w:r>
          </w:p>
          <w:p w:rsidR="0091227E" w:rsidRPr="0091227E" w:rsidRDefault="0091227E" w:rsidP="0091227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1227E">
              <w:rPr>
                <w:color w:val="000000"/>
                <w:sz w:val="24"/>
                <w:szCs w:val="24"/>
              </w:rPr>
              <w:t>б) дата и номер предостережения, направленного в адрес контролируемого лица;</w:t>
            </w:r>
          </w:p>
          <w:p w:rsidR="0091227E" w:rsidRPr="0091227E" w:rsidRDefault="0091227E" w:rsidP="0091227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1227E">
              <w:rPr>
                <w:color w:val="000000"/>
                <w:sz w:val="24"/>
                <w:szCs w:val="24"/>
              </w:rPr>
              <w:t>в)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      </w:r>
          </w:p>
          <w:p w:rsidR="0091227E" w:rsidRPr="0091227E" w:rsidRDefault="0091227E" w:rsidP="0091227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1227E">
              <w:rPr>
                <w:color w:val="000000"/>
                <w:sz w:val="24"/>
                <w:szCs w:val="24"/>
              </w:rPr>
              <w:t>г) личная подпись и дата.</w:t>
            </w:r>
          </w:p>
          <w:p w:rsidR="0091227E" w:rsidRPr="0091227E" w:rsidRDefault="0091227E" w:rsidP="0091227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1227E">
              <w:rPr>
                <w:color w:val="000000"/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91227E" w:rsidRPr="0091227E" w:rsidRDefault="0091227E" w:rsidP="0091227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1227E">
              <w:rPr>
                <w:color w:val="000000"/>
                <w:sz w:val="24"/>
                <w:szCs w:val="24"/>
              </w:rPr>
              <w:t xml:space="preserve"> 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91227E" w:rsidRPr="0091227E" w:rsidRDefault="0091227E" w:rsidP="0091227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1227E">
              <w:rPr>
                <w:color w:val="000000"/>
                <w:sz w:val="24"/>
                <w:szCs w:val="24"/>
              </w:rPr>
              <w:t>По результатам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с соответствующей отметкой в журнале учета объявленных предостережений.</w:t>
            </w:r>
          </w:p>
          <w:p w:rsidR="00E6625F" w:rsidRDefault="0091227E" w:rsidP="0091227E">
            <w:pPr>
              <w:autoSpaceDE w:val="0"/>
              <w:autoSpaceDN w:val="0"/>
              <w:adjustRightInd w:val="0"/>
              <w:ind w:firstLine="710"/>
              <w:jc w:val="both"/>
              <w:rPr>
                <w:iCs/>
                <w:sz w:val="24"/>
                <w:szCs w:val="24"/>
              </w:rPr>
            </w:pPr>
            <w:r w:rsidRPr="0091227E">
              <w:rPr>
                <w:color w:val="000000"/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3402" w:type="dxa"/>
            <w:vAlign w:val="center"/>
          </w:tcPr>
          <w:p w:rsidR="00E6625F" w:rsidRDefault="007F18E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муниципального контроля администрации</w:t>
            </w:r>
          </w:p>
        </w:tc>
      </w:tr>
    </w:tbl>
    <w:p w:rsidR="00E6625F" w:rsidRDefault="00E6625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6625F" w:rsidRDefault="00E6625F">
      <w:pPr>
        <w:spacing w:after="200" w:line="276" w:lineRule="auto"/>
        <w:rPr>
          <w:sz w:val="24"/>
          <w:szCs w:val="24"/>
        </w:rPr>
        <w:sectPr w:rsidR="00E6625F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E6625F" w:rsidRDefault="00E6625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E6625F" w:rsidRDefault="007F18E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E6625F" w:rsidRDefault="00E6625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E6625F" w:rsidRDefault="007F18E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жилищного контроля.</w:t>
      </w:r>
    </w:p>
    <w:p w:rsidR="00E6625F" w:rsidRDefault="007F18E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E6625F" w:rsidRDefault="007F18E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E6625F" w:rsidRDefault="00E6625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91227E" w:rsidTr="009122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Default="009122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Default="009122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91227E" w:rsidTr="009122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Default="009122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Default="009122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91227E" w:rsidTr="009122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Default="009122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Default="009122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91227E" w:rsidTr="009122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Default="009122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Default="009122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объявления подконтрольным субъектам предостережений о недопустимости нарушений обязательных требований </w:t>
            </w:r>
          </w:p>
        </w:tc>
      </w:tr>
    </w:tbl>
    <w:p w:rsidR="00E6625F" w:rsidRDefault="00E6625F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:rsidR="00E6625F" w:rsidRDefault="00E6625F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:rsidR="00E6625F" w:rsidRDefault="007F18E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662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E662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E662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E662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E6625F" w:rsidRDefault="00E6625F">
      <w:pPr>
        <w:autoSpaceDE w:val="0"/>
        <w:autoSpaceDN w:val="0"/>
        <w:adjustRightInd w:val="0"/>
        <w:rPr>
          <w:sz w:val="24"/>
          <w:szCs w:val="24"/>
        </w:rPr>
      </w:pPr>
    </w:p>
    <w:sectPr w:rsidR="00E6625F" w:rsidSect="00E6625F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16F" w:rsidRDefault="00E7316F">
      <w:r>
        <w:separator/>
      </w:r>
    </w:p>
  </w:endnote>
  <w:endnote w:type="continuationSeparator" w:id="1">
    <w:p w:rsidR="00E7316F" w:rsidRDefault="00E7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16F" w:rsidRDefault="00E7316F">
      <w:r>
        <w:separator/>
      </w:r>
    </w:p>
  </w:footnote>
  <w:footnote w:type="continuationSeparator" w:id="1">
    <w:p w:rsidR="00E7316F" w:rsidRDefault="00E73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62897EF3"/>
    <w:multiLevelType w:val="hybridMultilevel"/>
    <w:tmpl w:val="0EAC37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9371729"/>
    <w:multiLevelType w:val="hybridMultilevel"/>
    <w:tmpl w:val="FC248CE2"/>
    <w:lvl w:ilvl="0" w:tplc="23E6A94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E6625F"/>
    <w:rsid w:val="000C4E87"/>
    <w:rsid w:val="000E3887"/>
    <w:rsid w:val="001836DE"/>
    <w:rsid w:val="001C5C2D"/>
    <w:rsid w:val="001E43A2"/>
    <w:rsid w:val="0026426B"/>
    <w:rsid w:val="00351EA8"/>
    <w:rsid w:val="00394ADE"/>
    <w:rsid w:val="003D0575"/>
    <w:rsid w:val="004138F7"/>
    <w:rsid w:val="00437BA5"/>
    <w:rsid w:val="00525956"/>
    <w:rsid w:val="006032F7"/>
    <w:rsid w:val="00626867"/>
    <w:rsid w:val="007F18E0"/>
    <w:rsid w:val="0086635B"/>
    <w:rsid w:val="0091227E"/>
    <w:rsid w:val="009D4AE7"/>
    <w:rsid w:val="00A026F0"/>
    <w:rsid w:val="00A10DBD"/>
    <w:rsid w:val="00A84398"/>
    <w:rsid w:val="00AB51F3"/>
    <w:rsid w:val="00AC48F5"/>
    <w:rsid w:val="00B13738"/>
    <w:rsid w:val="00B57061"/>
    <w:rsid w:val="00B57F6C"/>
    <w:rsid w:val="00B64DBF"/>
    <w:rsid w:val="00C147E5"/>
    <w:rsid w:val="00C51733"/>
    <w:rsid w:val="00C9749D"/>
    <w:rsid w:val="00CA5FB3"/>
    <w:rsid w:val="00CD2EB5"/>
    <w:rsid w:val="00D202C8"/>
    <w:rsid w:val="00DC62DE"/>
    <w:rsid w:val="00E123F0"/>
    <w:rsid w:val="00E6625F"/>
    <w:rsid w:val="00E7316F"/>
    <w:rsid w:val="00F5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625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E662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66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6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E6625F"/>
    <w:pPr>
      <w:ind w:left="708"/>
    </w:pPr>
  </w:style>
  <w:style w:type="character" w:styleId="a7">
    <w:name w:val="Hyperlink"/>
    <w:basedOn w:val="a0"/>
    <w:rsid w:val="00E6625F"/>
    <w:rPr>
      <w:color w:val="000080"/>
      <w:u w:val="single"/>
    </w:rPr>
  </w:style>
  <w:style w:type="character" w:customStyle="1" w:styleId="FontStyle13">
    <w:name w:val="Font Style13"/>
    <w:rsid w:val="00E6625F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rsid w:val="00E6625F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E6625F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E6625F"/>
    <w:pPr>
      <w:suppressLineNumbers/>
      <w:suppressAutoHyphens/>
    </w:pPr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E662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6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6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E6625F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E66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E6625F"/>
    <w:rPr>
      <w:rFonts w:ascii="Arial" w:eastAsia="Calibri" w:hAnsi="Arial" w:cs="Arial"/>
      <w:sz w:val="20"/>
      <w:szCs w:val="20"/>
    </w:rPr>
  </w:style>
  <w:style w:type="character" w:customStyle="1" w:styleId="a6">
    <w:name w:val="Абзац списка Знак"/>
    <w:link w:val="a5"/>
    <w:locked/>
    <w:rsid w:val="00E66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6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662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E6625F"/>
    <w:rPr>
      <w:i/>
      <w:iCs/>
    </w:rPr>
  </w:style>
  <w:style w:type="paragraph" w:styleId="21">
    <w:name w:val="Body Text Indent 2"/>
    <w:basedOn w:val="a"/>
    <w:link w:val="22"/>
    <w:rsid w:val="006032F7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032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ino.info/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nizino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nizino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957D6-8E38-41FE-91D2-E2BEB05D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Пользователь Windows</cp:lastModifiedBy>
  <cp:revision>5</cp:revision>
  <cp:lastPrinted>2023-11-07T08:09:00Z</cp:lastPrinted>
  <dcterms:created xsi:type="dcterms:W3CDTF">2023-10-03T13:18:00Z</dcterms:created>
  <dcterms:modified xsi:type="dcterms:W3CDTF">2023-11-07T08:09:00Z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